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922"/>
        <w:gridCol w:w="1761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3.636,41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553,10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4.189,51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2.671,24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370,86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3.042,10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408,08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408,08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IGD SUAS - 20175-8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1.584,09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274,26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1.858,35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4.192,96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706,75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4.899,71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27.000,00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1.7.21.34.99.16.0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PFMC - Piso Fixo de Média Complexidade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510,76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70,58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581,34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6.165,80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1.822,80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7.988,60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6.676,56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1.893,38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8.569,94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151.676,56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1.893,38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153.569,94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26.626,00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30.246,00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26.626,00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30.246,00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9.955,59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-85,00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13.193,24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-85,00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13.108,24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135.819,24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3.535,00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139.354,24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4.311,34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391,01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4.702,35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346.629,48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34.982,57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381.612,05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13.031,05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1.492,89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14.523,94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1.615,00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45"/>
        <w:gridCol w:w="1815"/>
        <w:gridCol w:w="1390"/>
      </w:tblGrid>
      <w:tr>
        <w:trPr>
          <w:trHeight w:val="42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18.993,75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588,56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19.582,31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1.695,00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34.766,35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2.695,02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37.461,37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750.762,56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420.431,97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40.760,05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461.192,02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6.167,73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6.167,73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15.047,96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1.977,61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17.025,57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15.047,96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1.977,61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17.025,57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106.086,00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106.803,00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106.086,00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106.803,00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2.205,90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2.280,90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6.969,32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7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-117,00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6.852,32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9.175,22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-42,00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9.133,22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250,20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2.175,30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149,50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4.949,50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5.050,20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2.324,80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7.375,00</w:t>
            </w:r>
          </w:p>
        </w:tc>
      </w:tr>
      <w:tr>
        <w:trPr>
          <w:trHeight w:val="5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319005000000</w:t>
              <w:tab/>
              <w:t>OUTROS BENEFÍCIOS PREVIDENCIÁRIOS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270,18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405,27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32.926,91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17.021,53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49.948,44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13.803,43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1.565,94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15.369,37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12.682,91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-72,25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12.610,66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217.130,25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59.683,43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18.650,31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78.333,74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12.654,00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14.194,00</w:t>
            </w:r>
          </w:p>
        </w:tc>
      </w:tr>
      <w:tr>
        <w:trPr>
          <w:trHeight w:val="27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12.654,00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14.194,00</w:t>
            </w:r>
          </w:p>
        </w:tc>
      </w:tr>
    </w:tbl>
    <w:p>
      <w:pPr>
        <w:pStyle w:val="BodyText"/>
        <w:spacing w:line="240" w:lineRule="auto" w:before="24"/>
        <w:ind w:left="970" w:right="0"/>
        <w:jc w:val="left"/>
      </w:pPr>
      <w:r>
        <w:rPr/>
        <w:t>2221 - Atend à Medidas Socioeducativas e Liberdade Assistida- CREAS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245"/>
        <w:gridCol w:w="1731"/>
        <w:gridCol w:w="1474"/>
      </w:tblGrid>
      <w:tr>
        <w:trPr>
          <w:trHeight w:val="42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385,00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914" w:right="53" w:firstLine="8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385,00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14.779,04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37,60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14.816,64</w:t>
            </w:r>
          </w:p>
        </w:tc>
      </w:tr>
      <w:tr>
        <w:trPr>
          <w:trHeight w:val="26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15.164,04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37,60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15.201,64</w:t>
            </w:r>
          </w:p>
        </w:tc>
      </w:tr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1.131,13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1.131,13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9.731,97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1.784,17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11.516,14</w:t>
            </w:r>
          </w:p>
        </w:tc>
      </w:tr>
      <w:tr>
        <w:trPr>
          <w:trHeight w:val="23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10.863,10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1.784,17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12.647,27</w:t>
            </w:r>
          </w:p>
        </w:tc>
      </w:tr>
      <w:tr>
        <w:trPr>
          <w:trHeight w:val="24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1.314.122,31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671.897,47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74.127,27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746.024,74</w:t>
            </w:r>
          </w:p>
        </w:tc>
      </w:tr>
      <w:tr>
        <w:trPr>
          <w:trHeight w:val="30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1.829.676,31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1.157.393,27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79.555,65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1.236.948,92</w:t>
            </w:r>
          </w:p>
        </w:tc>
      </w:tr>
      <w:tr>
        <w:trPr>
          <w:trHeight w:val="33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1.829.676,31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1.157.393,27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79.555,65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1.236.948,92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7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45pt;width:772pt;height:65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818"/>
                    <w:gridCol w:w="1838"/>
                    <w:gridCol w:w="184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17.851,00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17.851,00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17.851,00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17.851,00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0938" w:val="left" w:leader="none"/>
                            <w:tab w:pos="1273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13.008,00</w:t>
                          <w:tab/>
                          <w:t>17.851,00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1.867.250,81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1.170.401,27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97.406,65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1.267.807,92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527"/>
            <w:col w:w="1349" w:space="704"/>
            <w:col w:w="1097" w:space="542"/>
            <w:col w:w="184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1.170.401,27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97.406,65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1.267.807,92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128.862,46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6.404,97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1.041.538,81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91.001,68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1.132.540,49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031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028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026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055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052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05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04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045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043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040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03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03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033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01/08/2014 até 30/08/2014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34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2016-01-27T13:25:51Z</dcterms:created>
  <dcterms:modified xsi:type="dcterms:W3CDTF">2016-01-27T13:25:51Z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