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4"/>
        </w:rPr>
      </w:pPr>
    </w:p>
    <w:tbl>
      <w:tblPr>
        <w:tblW w:w="0" w:type="auto"/>
        <w:jc w:val="left"/>
        <w:tblInd w:w="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195" w:hRule="atLeast"/>
        </w:trPr>
        <w:tc>
          <w:tcPr>
            <w:tcW w:w="496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3"/>
              <w:ind w:left="1709" w:right="93" w:hanging="16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 PARA APURA</w:t>
            </w:r>
            <w:r>
              <w:rPr>
                <w:b/>
                <w:sz w:val="14"/>
                <w:u w:val="single"/>
              </w:rPr>
              <w:t>ÇÃO DA APLICAÇÃO</w:t>
            </w:r>
            <w:r>
              <w:rPr>
                <w:b/>
                <w:sz w:val="14"/>
              </w:rPr>
              <w:t> EM AÇÕES E SERVIÇOS PÚBLICOS DE SAÚDE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0"/>
              <w:ind w:left="412" w:right="296" w:hanging="97"/>
              <w:jc w:val="left"/>
              <w:rPr>
                <w:sz w:val="12"/>
              </w:rPr>
            </w:pPr>
            <w:r>
              <w:rPr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169" w:right="122"/>
              <w:jc w:val="center"/>
              <w:rPr>
                <w:sz w:val="12"/>
              </w:rPr>
            </w:pPr>
            <w:r>
              <w:rPr>
                <w:sz w:val="12"/>
              </w:rPr>
              <w:t>PREVISÃO ATUALIZADA</w:t>
            </w:r>
          </w:p>
          <w:p>
            <w:pPr>
              <w:pStyle w:val="TableParagraph"/>
              <w:spacing w:before="0"/>
              <w:ind w:left="169" w:right="124"/>
              <w:jc w:val="center"/>
              <w:rPr>
                <w:sz w:val="12"/>
              </w:rPr>
            </w:pPr>
            <w:r>
              <w:rPr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1109" w:right="0"/>
              <w:jc w:val="left"/>
              <w:rPr>
                <w:sz w:val="12"/>
              </w:rPr>
            </w:pPr>
            <w:r>
              <w:rPr>
                <w:sz w:val="12"/>
              </w:rPr>
              <w:t>RECEITAS REALIZADAS</w:t>
            </w:r>
          </w:p>
        </w:tc>
      </w:tr>
      <w:tr>
        <w:trPr>
          <w:trHeight w:val="389" w:hRule="atLeast"/>
        </w:trPr>
        <w:tc>
          <w:tcPr>
            <w:tcW w:w="496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796" w:right="503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0" w:lineRule="exact" w:before="0"/>
              <w:ind w:left="104" w:righ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%</w:t>
            </w:r>
          </w:p>
          <w:p>
            <w:pPr>
              <w:pStyle w:val="TableParagraph"/>
              <w:spacing w:before="22"/>
              <w:ind w:left="585" w:right="548"/>
              <w:jc w:val="center"/>
              <w:rPr>
                <w:sz w:val="12"/>
              </w:rPr>
            </w:pPr>
            <w:r>
              <w:rPr>
                <w:sz w:val="12"/>
              </w:rPr>
              <w:t>(b/a) x 100</w:t>
            </w:r>
          </w:p>
        </w:tc>
      </w:tr>
      <w:tr>
        <w:trPr>
          <w:trHeight w:val="175" w:hRule="atLeast"/>
        </w:trPr>
        <w:tc>
          <w:tcPr>
            <w:tcW w:w="4965" w:type="dxa"/>
            <w:tcBorders>
              <w:top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7"/>
              <w:ind w:left="14" w:right="0"/>
              <w:jc w:val="left"/>
              <w:rPr>
                <w:sz w:val="12"/>
              </w:rPr>
            </w:pPr>
            <w:r>
              <w:rPr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w w:val="95"/>
                <w:sz w:val="12"/>
              </w:rPr>
              <w:t>9.061.000,00</w:t>
            </w:r>
          </w:p>
        </w:tc>
        <w:tc>
          <w:tcPr>
            <w:tcW w:w="1185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w w:val="95"/>
                <w:sz w:val="12"/>
              </w:rPr>
              <w:t>9.061.000,00</w:t>
            </w:r>
          </w:p>
        </w:tc>
        <w:tc>
          <w:tcPr>
            <w:tcW w:w="1800" w:type="dxa"/>
            <w:tcBorders>
              <w:top w:val="single" w:sz="6" w:space="0" w:color="000000"/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7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4.925.750,76</w:t>
            </w:r>
          </w:p>
        </w:tc>
        <w:tc>
          <w:tcPr>
            <w:tcW w:w="1755" w:type="dxa"/>
            <w:tcBorders>
              <w:top w:val="single" w:sz="6" w:space="0" w:color="000000"/>
              <w:left w:val="dashed" w:sz="6" w:space="0" w:color="000000"/>
            </w:tcBorders>
          </w:tcPr>
          <w:p>
            <w:pPr>
              <w:pStyle w:val="TableParagraph"/>
              <w:spacing w:line="133" w:lineRule="exact" w:before="22"/>
              <w:ind w:right="-15"/>
              <w:rPr>
                <w:sz w:val="12"/>
              </w:rPr>
            </w:pPr>
            <w:r>
              <w:rPr>
                <w:sz w:val="12"/>
              </w:rPr>
              <w:t>54,36 %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1.920.000,00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1.920.000,00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1.315.462,50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68,51 %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564.000,00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564.000,00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228.360,45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40,49 %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2.955.000,00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2.955.000,00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1.811.226,98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61,29 %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1.356.000,00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1.356.000,00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1.244.873,51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91,80 %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143.000,00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143.000,00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27.608,92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19,31 %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1.830.000,00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1.830.000,00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194.126,87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10,61 %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293.000,00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293.000,00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104.091,53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35,53 %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14" w:right="0"/>
              <w:jc w:val="left"/>
              <w:rPr>
                <w:sz w:val="12"/>
              </w:rPr>
            </w:pPr>
            <w:r>
              <w:rPr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49.017.000,00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49.017.000,00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33.431.145,28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68,20 %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Cota-Parte do FPM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20.163.000,00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20.163.000,00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12.686.635,91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62,92 %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Cota-Parte do ITR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2.072.000,00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2.072.000,00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109.056,70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5,26 %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Cota-Parte do IPVA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2.627.000,00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2.627.000,00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2.507.447,89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95,45 %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Cota-Parte do ICMS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23.557.000,00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23.557.000,00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17.764.011,44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75,41 %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331.000,00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331.000,00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245.163,02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74,07 %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267.000,00</w:t>
            </w:r>
          </w:p>
        </w:tc>
        <w:tc>
          <w:tcPr>
            <w:tcW w:w="1185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267.000,00</w:t>
            </w:r>
          </w:p>
        </w:tc>
        <w:tc>
          <w:tcPr>
            <w:tcW w:w="1800" w:type="dxa"/>
            <w:tcBorders>
              <w:left w:val="dashed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118.830,32</w:t>
            </w:r>
          </w:p>
        </w:tc>
        <w:tc>
          <w:tcPr>
            <w:tcW w:w="1755" w:type="dxa"/>
            <w:tcBorders>
              <w:left w:val="dashed" w:sz="6" w:space="0" w:color="000000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44,51 %</w:t>
            </w:r>
          </w:p>
        </w:tc>
      </w:tr>
      <w:tr>
        <w:trPr>
          <w:trHeight w:val="199" w:hRule="atLeast"/>
        </w:trPr>
        <w:tc>
          <w:tcPr>
            <w:tcW w:w="4965" w:type="dxa"/>
            <w:tcBorders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ind w:left="81" w:right="0"/>
              <w:jc w:val="left"/>
              <w:rPr>
                <w:sz w:val="12"/>
              </w:rPr>
            </w:pPr>
            <w:r>
              <w:rPr>
                <w:sz w:val="12"/>
              </w:rPr>
              <w:t>Outras</w:t>
            </w:r>
          </w:p>
        </w:tc>
        <w:tc>
          <w:tcPr>
            <w:tcW w:w="1260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left w:val="dashed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6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359" w:hRule="atLeast"/>
        </w:trPr>
        <w:tc>
          <w:tcPr>
            <w:tcW w:w="4965" w:type="dxa"/>
            <w:tcBorders>
              <w:top w:val="single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line="242" w:lineRule="auto" w:before="22"/>
              <w:ind w:left="14" w:right="10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DAS RECEITAS PARA APURAÇÃO DA APLICAÇÃO EM AÇÕES E SERVIÇOS PÚBLICOS DE SAÚDE (III) = I + II</w:t>
            </w:r>
          </w:p>
        </w:tc>
        <w:tc>
          <w:tcPr>
            <w:tcW w:w="126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58.078.000,00</w:t>
            </w:r>
          </w:p>
        </w:tc>
        <w:tc>
          <w:tcPr>
            <w:tcW w:w="1185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58.078.000,00</w:t>
            </w:r>
          </w:p>
        </w:tc>
        <w:tc>
          <w:tcPr>
            <w:tcW w:w="180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</w:tcPr>
          <w:p>
            <w:pPr>
              <w:pStyle w:val="TableParagraph"/>
              <w:spacing w:before="22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38.356.896,04</w:t>
            </w:r>
          </w:p>
        </w:tc>
        <w:tc>
          <w:tcPr>
            <w:tcW w:w="1755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-15"/>
              <w:rPr>
                <w:sz w:val="12"/>
              </w:rPr>
            </w:pPr>
            <w:r>
              <w:rPr>
                <w:sz w:val="12"/>
              </w:rPr>
              <w:t>66,04 %</w:t>
            </w:r>
          </w:p>
        </w:tc>
      </w:tr>
    </w:tbl>
    <w:p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jc w:val="left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195" w:hRule="atLeast"/>
        </w:trPr>
        <w:tc>
          <w:tcPr>
            <w:tcW w:w="496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457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RECEITAS ADICIONAIS PARA FINANCIAMENTO DA SAÚDE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0"/>
              <w:ind w:left="412" w:right="296" w:hanging="97"/>
              <w:jc w:val="left"/>
              <w:rPr>
                <w:sz w:val="12"/>
              </w:rPr>
            </w:pPr>
            <w:r>
              <w:rPr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</w:tcPr>
          <w:p>
            <w:pPr>
              <w:pStyle w:val="TableParagraph"/>
              <w:spacing w:line="278" w:lineRule="auto" w:before="67"/>
              <w:ind w:left="169" w:right="122"/>
              <w:jc w:val="center"/>
              <w:rPr>
                <w:sz w:val="12"/>
              </w:rPr>
            </w:pPr>
            <w:r>
              <w:rPr>
                <w:sz w:val="12"/>
              </w:rPr>
              <w:t>PREVISÃO ATUALIZADA</w:t>
            </w:r>
          </w:p>
          <w:p>
            <w:pPr>
              <w:pStyle w:val="TableParagraph"/>
              <w:spacing w:before="0"/>
              <w:ind w:left="169" w:right="124"/>
              <w:jc w:val="center"/>
              <w:rPr>
                <w:sz w:val="12"/>
              </w:rPr>
            </w:pPr>
            <w:r>
              <w:rPr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2"/>
              <w:ind w:left="1109" w:right="0"/>
              <w:jc w:val="left"/>
              <w:rPr>
                <w:sz w:val="12"/>
              </w:rPr>
            </w:pPr>
            <w:r>
              <w:rPr>
                <w:sz w:val="12"/>
              </w:rPr>
              <w:t>RECEITAS REALIZADAS</w:t>
            </w:r>
          </w:p>
        </w:tc>
      </w:tr>
      <w:tr>
        <w:trPr>
          <w:trHeight w:val="389" w:hRule="atLeast"/>
        </w:trPr>
        <w:tc>
          <w:tcPr>
            <w:tcW w:w="49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spacing w:line="278" w:lineRule="auto" w:before="37"/>
              <w:ind w:left="886" w:right="413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(b)</w:t>
            </w:r>
          </w:p>
        </w:tc>
        <w:tc>
          <w:tcPr>
            <w:tcW w:w="1755" w:type="dxa"/>
            <w:tcBorders>
              <w:right w:val="nil"/>
            </w:tcBorders>
          </w:tcPr>
          <w:p>
            <w:pPr>
              <w:pStyle w:val="TableParagraph"/>
              <w:spacing w:line="130" w:lineRule="exact" w:before="0"/>
              <w:ind w:left="104" w:right="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%</w:t>
            </w:r>
          </w:p>
          <w:p>
            <w:pPr>
              <w:pStyle w:val="TableParagraph"/>
              <w:spacing w:before="22"/>
              <w:ind w:left="585" w:right="548"/>
              <w:jc w:val="center"/>
              <w:rPr>
                <w:sz w:val="12"/>
              </w:rPr>
            </w:pPr>
            <w:r>
              <w:rPr>
                <w:sz w:val="12"/>
              </w:rPr>
              <w:t>(d/c) x 100</w:t>
            </w:r>
          </w:p>
        </w:tc>
      </w:tr>
      <w:tr>
        <w:trPr>
          <w:trHeight w:val="175" w:hRule="atLeast"/>
        </w:trPr>
        <w:tc>
          <w:tcPr>
            <w:tcW w:w="496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"/>
              <w:ind w:left="32" w:right="0"/>
              <w:jc w:val="left"/>
              <w:rPr>
                <w:sz w:val="12"/>
              </w:rPr>
            </w:pPr>
            <w:r>
              <w:rPr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w w:val="95"/>
                <w:sz w:val="12"/>
              </w:rPr>
              <w:t>4.088.000,00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w w:val="95"/>
                <w:sz w:val="12"/>
              </w:rPr>
              <w:t>4.088.000,00</w:t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2.646.595,99</w:t>
            </w:r>
          </w:p>
        </w:tc>
        <w:tc>
          <w:tcPr>
            <w:tcW w:w="175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33" w:lineRule="exact" w:before="22"/>
              <w:ind w:right="-15"/>
              <w:rPr>
                <w:sz w:val="12"/>
              </w:rPr>
            </w:pPr>
            <w:r>
              <w:rPr>
                <w:sz w:val="12"/>
              </w:rPr>
              <w:t>64,74 %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99" w:right="0"/>
              <w:jc w:val="left"/>
              <w:rPr>
                <w:sz w:val="12"/>
              </w:rPr>
            </w:pPr>
            <w:r>
              <w:rPr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4.078.000,00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4.078.000,00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2.553.923,38</w:t>
            </w: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62,63 %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99" w:right="0"/>
              <w:jc w:val="left"/>
              <w:rPr>
                <w:sz w:val="12"/>
              </w:rPr>
            </w:pPr>
            <w:r>
              <w:rPr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99" w:right="0"/>
              <w:jc w:val="left"/>
              <w:rPr>
                <w:sz w:val="12"/>
              </w:rPr>
            </w:pPr>
            <w:r>
              <w:rPr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99" w:right="0"/>
              <w:jc w:val="left"/>
              <w:rPr>
                <w:sz w:val="12"/>
              </w:rPr>
            </w:pPr>
            <w:r>
              <w:rPr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10.000,00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10.000,00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92.672,61</w:t>
            </w: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926,73 %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32" w:right="0"/>
              <w:jc w:val="left"/>
              <w:rPr>
                <w:sz w:val="12"/>
              </w:rPr>
            </w:pPr>
            <w:r>
              <w:rPr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32" w:right="0"/>
              <w:jc w:val="left"/>
              <w:rPr>
                <w:sz w:val="12"/>
              </w:rPr>
            </w:pPr>
            <w:r>
              <w:rPr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99" w:hRule="atLeast"/>
        </w:trPr>
        <w:tc>
          <w:tcPr>
            <w:tcW w:w="4965" w:type="dxa"/>
            <w:tcBorders>
              <w:top w:val="nil"/>
              <w:left w:val="nil"/>
            </w:tcBorders>
          </w:tcPr>
          <w:p>
            <w:pPr>
              <w:pStyle w:val="TableParagraph"/>
              <w:ind w:left="32" w:right="0"/>
              <w:jc w:val="left"/>
              <w:rPr>
                <w:sz w:val="12"/>
              </w:rPr>
            </w:pPr>
            <w:r>
              <w:rPr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6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94" w:hRule="atLeast"/>
        </w:trPr>
        <w:tc>
          <w:tcPr>
            <w:tcW w:w="4965" w:type="dxa"/>
            <w:tcBorders>
              <w:left w:val="nil"/>
            </w:tcBorders>
          </w:tcPr>
          <w:p>
            <w:pPr>
              <w:pStyle w:val="TableParagraph"/>
              <w:spacing w:before="22"/>
              <w:ind w:left="14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RECEITAS ADICIONAIS PARA FINANCIAMENTO DA SAÚDE</w:t>
            </w:r>
          </w:p>
        </w:tc>
        <w:tc>
          <w:tcPr>
            <w:tcW w:w="1260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4.088.000,00</w:t>
            </w:r>
          </w:p>
        </w:tc>
        <w:tc>
          <w:tcPr>
            <w:tcW w:w="1185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4.088.000,00</w:t>
            </w:r>
          </w:p>
        </w:tc>
        <w:tc>
          <w:tcPr>
            <w:tcW w:w="1800" w:type="dxa"/>
          </w:tcPr>
          <w:p>
            <w:pPr>
              <w:pStyle w:val="TableParagraph"/>
              <w:spacing w:before="22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2.646.595,99</w:t>
            </w:r>
          </w:p>
        </w:tc>
        <w:tc>
          <w:tcPr>
            <w:tcW w:w="1755" w:type="dxa"/>
            <w:tcBorders>
              <w:right w:val="nil"/>
            </w:tcBorders>
          </w:tcPr>
          <w:p>
            <w:pPr>
              <w:pStyle w:val="TableParagraph"/>
              <w:spacing w:before="22"/>
              <w:ind w:right="-15"/>
              <w:rPr>
                <w:sz w:val="12"/>
              </w:rPr>
            </w:pPr>
            <w:r>
              <w:rPr>
                <w:sz w:val="12"/>
              </w:rPr>
              <w:t>64,74 %</w:t>
            </w:r>
          </w:p>
        </w:tc>
      </w:tr>
    </w:tbl>
    <w:p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jc w:val="left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80" w:hRule="atLeast"/>
        </w:trPr>
        <w:tc>
          <w:tcPr>
            <w:tcW w:w="496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84" w:right="117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DESPESAS COM SAÚDE</w:t>
            </w:r>
          </w:p>
          <w:p>
            <w:pPr>
              <w:pStyle w:val="TableParagraph"/>
              <w:spacing w:before="17"/>
              <w:ind w:left="184" w:right="1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(Por Grupo e Natureza da Despesa)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spacing w:before="7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78" w:lineRule="auto" w:before="0"/>
              <w:ind w:left="412" w:right="306" w:hanging="87"/>
              <w:jc w:val="left"/>
              <w:rPr>
                <w:sz w:val="12"/>
              </w:rPr>
            </w:pPr>
            <w:r>
              <w:rPr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</w:tcPr>
          <w:p>
            <w:pPr>
              <w:pStyle w:val="TableParagraph"/>
              <w:spacing w:before="7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78" w:lineRule="auto" w:before="0"/>
              <w:ind w:left="102" w:right="190"/>
              <w:jc w:val="center"/>
              <w:rPr>
                <w:sz w:val="12"/>
              </w:rPr>
            </w:pPr>
            <w:r>
              <w:rPr>
                <w:sz w:val="12"/>
              </w:rPr>
              <w:t>DOTAÇÃO ATUALIZADA</w:t>
            </w:r>
          </w:p>
          <w:p>
            <w:pPr>
              <w:pStyle w:val="TableParagraph"/>
              <w:spacing w:before="0"/>
              <w:ind w:left="102" w:right="190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7"/>
              <w:ind w:left="139" w:right="0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7"/>
              <w:ind w:left="211" w:right="0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</w:tr>
      <w:tr>
        <w:trPr>
          <w:trHeight w:val="659" w:hRule="atLeast"/>
        </w:trPr>
        <w:tc>
          <w:tcPr>
            <w:tcW w:w="49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0" w:lineRule="atLeast" w:before="0"/>
              <w:ind w:left="543" w:right="127" w:hanging="337"/>
              <w:jc w:val="left"/>
              <w:rPr>
                <w:sz w:val="12"/>
              </w:rPr>
            </w:pPr>
            <w:r>
              <w:rPr>
                <w:sz w:val="12"/>
              </w:rPr>
              <w:t>Até o Bimestre (f)</w:t>
            </w:r>
          </w:p>
        </w:tc>
        <w:tc>
          <w:tcPr>
            <w:tcW w:w="64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0" w:lineRule="atLeast" w:before="0"/>
              <w:ind w:left="229" w:right="47" w:hanging="140"/>
              <w:jc w:val="left"/>
              <w:rPr>
                <w:sz w:val="12"/>
              </w:rPr>
            </w:pPr>
            <w:r>
              <w:rPr>
                <w:sz w:val="12"/>
              </w:rPr>
              <w:t>% (f/e) x 100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0" w:lineRule="atLeast" w:before="0"/>
              <w:ind w:left="526" w:right="128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(g)</w:t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0" w:lineRule="atLeast" w:before="0"/>
              <w:ind w:left="244" w:right="-15" w:hanging="157"/>
              <w:jc w:val="left"/>
              <w:rPr>
                <w:sz w:val="12"/>
              </w:rPr>
            </w:pPr>
            <w:r>
              <w:rPr>
                <w:sz w:val="12"/>
              </w:rPr>
              <w:t>% (g/e) x 100</w:t>
            </w:r>
          </w:p>
        </w:tc>
      </w:tr>
      <w:tr>
        <w:trPr>
          <w:trHeight w:val="175" w:hRule="atLeast"/>
        </w:trPr>
        <w:tc>
          <w:tcPr>
            <w:tcW w:w="496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"/>
              <w:ind w:left="89" w:right="0"/>
              <w:jc w:val="left"/>
              <w:rPr>
                <w:sz w:val="12"/>
              </w:rPr>
            </w:pPr>
            <w:r>
              <w:rPr>
                <w:sz w:val="12"/>
              </w:rPr>
              <w:t>DESPESAS CORRENTES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w w:val="95"/>
                <w:sz w:val="12"/>
              </w:rPr>
              <w:t>18.211.000,00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w w:val="95"/>
                <w:sz w:val="12"/>
              </w:rPr>
              <w:t>19.370.184,34</w:t>
            </w:r>
          </w:p>
        </w:tc>
        <w:tc>
          <w:tcPr>
            <w:tcW w:w="1155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w w:val="95"/>
                <w:sz w:val="12"/>
              </w:rPr>
              <w:t>13.170.290,32</w:t>
            </w:r>
          </w:p>
        </w:tc>
        <w:tc>
          <w:tcPr>
            <w:tcW w:w="645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20"/>
              <w:rPr>
                <w:sz w:val="12"/>
              </w:rPr>
            </w:pPr>
            <w:r>
              <w:rPr>
                <w:sz w:val="12"/>
              </w:rPr>
              <w:t>67,99 %</w:t>
            </w:r>
          </w:p>
        </w:tc>
        <w:tc>
          <w:tcPr>
            <w:tcW w:w="1155" w:type="dxa"/>
            <w:tcBorders>
              <w:bottom w:val="nil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  <w:r>
              <w:rPr>
                <w:w w:val="95"/>
                <w:sz w:val="12"/>
              </w:rPr>
              <w:t>11.997.500,29</w:t>
            </w:r>
          </w:p>
        </w:tc>
        <w:tc>
          <w:tcPr>
            <w:tcW w:w="61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33" w:lineRule="exact" w:before="22"/>
              <w:ind w:right="-15"/>
              <w:rPr>
                <w:sz w:val="12"/>
              </w:rPr>
            </w:pPr>
            <w:r>
              <w:rPr>
                <w:sz w:val="12"/>
              </w:rPr>
              <w:t>61,94 %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156" w:right="0"/>
              <w:jc w:val="left"/>
              <w:rPr>
                <w:sz w:val="12"/>
              </w:rPr>
            </w:pPr>
            <w:r>
              <w:rPr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11.703.400,00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11.703.400,00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7.598.508,52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sz w:val="12"/>
              </w:rPr>
              <w:t>64,93 %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7.598.508,52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64,93 %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156" w:right="0"/>
              <w:jc w:val="left"/>
              <w:rPr>
                <w:sz w:val="12"/>
              </w:rPr>
            </w:pPr>
            <w:r>
              <w:rPr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156" w:right="0"/>
              <w:jc w:val="left"/>
              <w:rPr>
                <w:sz w:val="12"/>
              </w:rPr>
            </w:pPr>
            <w:r>
              <w:rPr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6.507.600,00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7.666.784,34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5.571.781,80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sz w:val="12"/>
              </w:rPr>
              <w:t>72,67 %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4.398.991,77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57,38 %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89" w:right="0"/>
              <w:jc w:val="left"/>
              <w:rPr>
                <w:sz w:val="12"/>
              </w:rPr>
            </w:pPr>
            <w:r>
              <w:rPr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235.000,00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1.044.594,89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466.232,54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sz w:val="12"/>
              </w:rPr>
              <w:t>44,63 %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186.131,15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17,82 %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156" w:right="0"/>
              <w:jc w:val="left"/>
              <w:rPr>
                <w:sz w:val="12"/>
              </w:rPr>
            </w:pPr>
            <w:r>
              <w:rPr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235.000,00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1.044.594,89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466.232,54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sz w:val="12"/>
              </w:rPr>
              <w:t>44,63 %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186.131,15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17,82 %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156" w:right="0"/>
              <w:jc w:val="left"/>
              <w:rPr>
                <w:sz w:val="12"/>
              </w:rPr>
            </w:pPr>
            <w:r>
              <w:rPr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84" w:hRule="atLeast"/>
        </w:trPr>
        <w:tc>
          <w:tcPr>
            <w:tcW w:w="4965" w:type="dxa"/>
            <w:tcBorders>
              <w:top w:val="nil"/>
              <w:left w:val="nil"/>
            </w:tcBorders>
          </w:tcPr>
          <w:p>
            <w:pPr>
              <w:pStyle w:val="TableParagraph"/>
              <w:ind w:left="156" w:right="0"/>
              <w:jc w:val="left"/>
              <w:rPr>
                <w:sz w:val="12"/>
              </w:rPr>
            </w:pPr>
            <w:r>
              <w:rPr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</w:tcBorders>
          </w:tcPr>
          <w:p>
            <w:pPr>
              <w:pStyle w:val="TableParagraph"/>
              <w:ind w:right="20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38" w:lineRule="exact" w:before="26"/>
              <w:ind w:right="-15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</w:tr>
      <w:tr>
        <w:trPr>
          <w:trHeight w:val="194" w:hRule="atLeast"/>
        </w:trPr>
        <w:tc>
          <w:tcPr>
            <w:tcW w:w="4965" w:type="dxa"/>
            <w:tcBorders>
              <w:left w:val="nil"/>
            </w:tcBorders>
          </w:tcPr>
          <w:p>
            <w:pPr>
              <w:pStyle w:val="TableParagraph"/>
              <w:spacing w:before="22"/>
              <w:ind w:left="89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DAS DESPESAS COM SAÚDE (IV)</w:t>
            </w:r>
          </w:p>
        </w:tc>
        <w:tc>
          <w:tcPr>
            <w:tcW w:w="1260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18.446.000,00</w:t>
            </w:r>
          </w:p>
        </w:tc>
        <w:tc>
          <w:tcPr>
            <w:tcW w:w="1185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20.414.779,23</w:t>
            </w:r>
          </w:p>
        </w:tc>
        <w:tc>
          <w:tcPr>
            <w:tcW w:w="1155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13.636.522,86</w:t>
            </w:r>
          </w:p>
        </w:tc>
        <w:tc>
          <w:tcPr>
            <w:tcW w:w="645" w:type="dxa"/>
          </w:tcPr>
          <w:p>
            <w:pPr>
              <w:pStyle w:val="TableParagraph"/>
              <w:spacing w:before="22"/>
              <w:ind w:right="20"/>
              <w:rPr>
                <w:sz w:val="12"/>
              </w:rPr>
            </w:pPr>
            <w:r>
              <w:rPr>
                <w:sz w:val="12"/>
              </w:rPr>
              <w:t>66,80 %</w:t>
            </w:r>
          </w:p>
        </w:tc>
        <w:tc>
          <w:tcPr>
            <w:tcW w:w="1155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12.183.631,44</w:t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TableParagraph"/>
              <w:spacing w:before="22"/>
              <w:ind w:right="-15"/>
              <w:rPr>
                <w:sz w:val="12"/>
              </w:rPr>
            </w:pPr>
            <w:r>
              <w:rPr>
                <w:sz w:val="12"/>
              </w:rPr>
              <w:t>59,68 %</w:t>
            </w:r>
          </w:p>
        </w:tc>
      </w:tr>
    </w:tbl>
    <w:p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jc w:val="left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80" w:hRule="atLeast"/>
        </w:trPr>
        <w:tc>
          <w:tcPr>
            <w:tcW w:w="496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8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1205" w:right="388" w:hanging="7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</w:t>
            </w:r>
            <w:r>
              <w:rPr>
                <w:b/>
                <w:sz w:val="14"/>
                <w:u w:val="single"/>
              </w:rPr>
              <w:t>S COM SAÚDE NÃO COMPUTADAS PAR</w:t>
            </w:r>
            <w:r>
              <w:rPr>
                <w:b/>
                <w:sz w:val="14"/>
              </w:rPr>
              <w:t>A FINS DE APURAÇÃO DO PERCENTUAL MÍNIMO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spacing w:before="7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78" w:lineRule="auto" w:before="0"/>
              <w:ind w:left="412" w:right="306" w:hanging="87"/>
              <w:jc w:val="left"/>
              <w:rPr>
                <w:sz w:val="12"/>
              </w:rPr>
            </w:pPr>
            <w:r>
              <w:rPr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</w:tcPr>
          <w:p>
            <w:pPr>
              <w:pStyle w:val="TableParagraph"/>
              <w:spacing w:before="7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78" w:lineRule="auto" w:before="0"/>
              <w:ind w:left="169" w:right="240" w:firstLine="73"/>
              <w:jc w:val="left"/>
              <w:rPr>
                <w:sz w:val="12"/>
              </w:rPr>
            </w:pPr>
            <w:r>
              <w:rPr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7"/>
              <w:ind w:left="139" w:right="0"/>
              <w:jc w:val="left"/>
              <w:rPr>
                <w:sz w:val="12"/>
              </w:rPr>
            </w:pPr>
            <w:r>
              <w:rPr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7"/>
              <w:ind w:left="211" w:right="0"/>
              <w:jc w:val="left"/>
              <w:rPr>
                <w:sz w:val="12"/>
              </w:rPr>
            </w:pPr>
            <w:r>
              <w:rPr>
                <w:sz w:val="12"/>
              </w:rPr>
              <w:t>DESPESAS LIQUIDADAS</w:t>
            </w:r>
          </w:p>
        </w:tc>
      </w:tr>
      <w:tr>
        <w:trPr>
          <w:trHeight w:val="659" w:hRule="atLeast"/>
        </w:trPr>
        <w:tc>
          <w:tcPr>
            <w:tcW w:w="49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0" w:lineRule="atLeast" w:before="0"/>
              <w:ind w:left="526" w:right="128" w:hanging="321"/>
              <w:jc w:val="left"/>
              <w:rPr>
                <w:sz w:val="12"/>
              </w:rPr>
            </w:pPr>
            <w:r>
              <w:rPr>
                <w:sz w:val="12"/>
              </w:rPr>
              <w:t>Até o Bimestre (h)</w:t>
            </w:r>
          </w:p>
        </w:tc>
        <w:tc>
          <w:tcPr>
            <w:tcW w:w="64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0" w:lineRule="atLeast" w:before="0"/>
              <w:ind w:left="183" w:right="47" w:hanging="87"/>
              <w:jc w:val="left"/>
              <w:rPr>
                <w:sz w:val="12"/>
              </w:rPr>
            </w:pPr>
            <w:r>
              <w:rPr>
                <w:sz w:val="12"/>
              </w:rPr>
              <w:t>% (h/IVf) x 100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0" w:lineRule="atLeast" w:before="0"/>
              <w:ind w:left="546" w:right="128" w:hanging="341"/>
              <w:jc w:val="left"/>
              <w:rPr>
                <w:sz w:val="12"/>
              </w:rPr>
            </w:pPr>
            <w:r>
              <w:rPr>
                <w:sz w:val="12"/>
              </w:rPr>
              <w:t>Até o Bimestre (i)</w:t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right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0" w:lineRule="atLeast" w:before="0"/>
              <w:ind w:left="183" w:right="28" w:hanging="84"/>
              <w:jc w:val="left"/>
              <w:rPr>
                <w:sz w:val="12"/>
              </w:rPr>
            </w:pPr>
            <w:r>
              <w:rPr>
                <w:sz w:val="12"/>
              </w:rPr>
              <w:t>% (i/IVg) x 100</w:t>
            </w:r>
          </w:p>
        </w:tc>
      </w:tr>
      <w:tr>
        <w:trPr>
          <w:trHeight w:val="160" w:hRule="atLeast"/>
        </w:trPr>
        <w:tc>
          <w:tcPr>
            <w:tcW w:w="496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33" w:lineRule="exact" w:before="7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line="133" w:lineRule="exact" w:before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spacing w:line="133" w:lineRule="exact" w:before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bottom w:val="nil"/>
            </w:tcBorders>
          </w:tcPr>
          <w:p>
            <w:pPr>
              <w:pStyle w:val="TableParagraph"/>
              <w:spacing w:line="133" w:lineRule="exact" w:before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bottom w:val="nil"/>
            </w:tcBorders>
          </w:tcPr>
          <w:p>
            <w:pPr>
              <w:pStyle w:val="TableParagraph"/>
              <w:spacing w:line="133" w:lineRule="exact" w:before="7"/>
              <w:ind w:right="20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bottom w:val="nil"/>
            </w:tcBorders>
          </w:tcPr>
          <w:p>
            <w:pPr>
              <w:pStyle w:val="TableParagraph"/>
              <w:spacing w:line="133" w:lineRule="exact" w:before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33" w:lineRule="exact" w:before="7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1" w:lineRule="exact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/>
              <w:ind w:right="20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1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9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71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3" w:lineRule="exact" w:before="18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 w:before="18"/>
              <w:rPr>
                <w:sz w:val="12"/>
              </w:rPr>
            </w:pPr>
            <w:r>
              <w:rPr>
                <w:w w:val="95"/>
                <w:sz w:val="12"/>
              </w:rPr>
              <w:t>4.088.000,00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 w:before="18"/>
              <w:rPr>
                <w:sz w:val="12"/>
              </w:rPr>
            </w:pPr>
            <w:r>
              <w:rPr>
                <w:w w:val="95"/>
                <w:sz w:val="12"/>
              </w:rPr>
              <w:t>4.554.055,76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 w:before="18"/>
              <w:rPr>
                <w:sz w:val="12"/>
              </w:rPr>
            </w:pPr>
            <w:r>
              <w:rPr>
                <w:w w:val="95"/>
                <w:sz w:val="12"/>
              </w:rPr>
              <w:t>2.495.424,21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 w:before="18"/>
              <w:ind w:right="20"/>
              <w:rPr>
                <w:sz w:val="12"/>
              </w:rPr>
            </w:pPr>
            <w:r>
              <w:rPr>
                <w:sz w:val="12"/>
              </w:rPr>
              <w:t>18,30 %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 w:before="18"/>
              <w:rPr>
                <w:sz w:val="12"/>
              </w:rPr>
            </w:pPr>
            <w:r>
              <w:rPr>
                <w:w w:val="95"/>
                <w:sz w:val="12"/>
              </w:rPr>
              <w:t>2.309.152,08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 w:before="18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18,95</w:t>
            </w:r>
          </w:p>
        </w:tc>
      </w:tr>
      <w:tr>
        <w:trPr>
          <w:trHeight w:val="165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3" w:lineRule="exact"/>
              <w:ind w:left="96" w:right="0"/>
              <w:jc w:val="left"/>
              <w:rPr>
                <w:sz w:val="12"/>
              </w:rPr>
            </w:pPr>
            <w:r>
              <w:rPr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4.088.000,00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4.554.055,76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2.495.424,21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ind w:right="20"/>
              <w:rPr>
                <w:sz w:val="12"/>
              </w:rPr>
            </w:pPr>
            <w:r>
              <w:rPr>
                <w:sz w:val="12"/>
              </w:rPr>
              <w:t>18,30 %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2.309.152,08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18,95</w:t>
            </w:r>
          </w:p>
        </w:tc>
      </w:tr>
      <w:tr>
        <w:trPr>
          <w:trHeight w:val="165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3" w:lineRule="exact"/>
              <w:ind w:left="96" w:right="0"/>
              <w:jc w:val="left"/>
              <w:rPr>
                <w:sz w:val="12"/>
              </w:rPr>
            </w:pPr>
            <w:r>
              <w:rPr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ind w:right="20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3" w:lineRule="exact"/>
              <w:ind w:left="96" w:right="0"/>
              <w:jc w:val="left"/>
              <w:rPr>
                <w:sz w:val="12"/>
              </w:rPr>
            </w:pPr>
            <w:r>
              <w:rPr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ind w:right="20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5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3" w:lineRule="exact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58.300,00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ind w:right="20"/>
              <w:rPr>
                <w:sz w:val="12"/>
              </w:rPr>
            </w:pPr>
            <w:r>
              <w:rPr>
                <w:sz w:val="12"/>
              </w:rPr>
              <w:t>0,43 %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1" w:lineRule="exact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/>
              <w:ind w:right="20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1" w:lineRule="exact"/>
              <w:ind w:right="-15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169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1" w:lineRule="exact" w:before="18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 w:before="1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 w:before="1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 w:before="1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 w:before="18"/>
              <w:ind w:right="20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 w:before="1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1" w:lineRule="exact" w:before="18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9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1" w:lineRule="exact" w:before="18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 w:before="1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 w:before="1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 w:before="1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 w:before="18"/>
              <w:ind w:right="20"/>
              <w:rPr>
                <w:sz w:val="12"/>
              </w:rPr>
            </w:pPr>
            <w:r>
              <w:rPr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1" w:lineRule="exact" w:before="1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1" w:lineRule="exact" w:before="18"/>
              <w:ind w:right="-15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80" w:hRule="atLeast"/>
        </w:trPr>
        <w:tc>
          <w:tcPr>
            <w:tcW w:w="496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5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5" w:type="dxa"/>
            <w:tcBorders>
              <w:top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4965" w:type="dxa"/>
            <w:tcBorders>
              <w:left w:val="nil"/>
            </w:tcBorders>
          </w:tcPr>
          <w:p>
            <w:pPr>
              <w:pStyle w:val="TableParagraph"/>
              <w:spacing w:before="22"/>
              <w:ind w:left="29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DAS DESPESAS COM NÃO COMPUTADAS (V)</w:t>
            </w:r>
          </w:p>
        </w:tc>
        <w:tc>
          <w:tcPr>
            <w:tcW w:w="1260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4.088.000,00</w:t>
            </w:r>
          </w:p>
        </w:tc>
        <w:tc>
          <w:tcPr>
            <w:tcW w:w="1185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4.554.055,76</w:t>
            </w:r>
          </w:p>
        </w:tc>
        <w:tc>
          <w:tcPr>
            <w:tcW w:w="1155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2.553.724,21</w:t>
            </w:r>
          </w:p>
        </w:tc>
        <w:tc>
          <w:tcPr>
            <w:tcW w:w="645" w:type="dxa"/>
          </w:tcPr>
          <w:p>
            <w:pPr>
              <w:pStyle w:val="TableParagraph"/>
              <w:spacing w:before="22"/>
              <w:ind w:right="20"/>
              <w:rPr>
                <w:sz w:val="12"/>
              </w:rPr>
            </w:pPr>
            <w:r>
              <w:rPr>
                <w:sz w:val="12"/>
              </w:rPr>
              <w:t>18,73 %</w:t>
            </w:r>
          </w:p>
        </w:tc>
        <w:tc>
          <w:tcPr>
            <w:tcW w:w="1155" w:type="dxa"/>
          </w:tcPr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w w:val="95"/>
                <w:sz w:val="12"/>
              </w:rPr>
              <w:t>2.309.152,08</w:t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TableParagraph"/>
              <w:spacing w:before="22"/>
              <w:ind w:right="-15"/>
              <w:rPr>
                <w:sz w:val="12"/>
              </w:rPr>
            </w:pPr>
            <w:r>
              <w:rPr>
                <w:sz w:val="12"/>
              </w:rPr>
              <w:t>18,95 %</w:t>
            </w:r>
          </w:p>
        </w:tc>
      </w:tr>
    </w:tbl>
    <w:p>
      <w:pPr>
        <w:pStyle w:val="BodyText"/>
        <w:spacing w:before="6"/>
        <w:rPr>
          <w:rFonts w:ascii="Times New Roman"/>
          <w:sz w:val="6"/>
        </w:rPr>
      </w:pPr>
    </w:p>
    <w:tbl>
      <w:tblPr>
        <w:tblW w:w="0" w:type="auto"/>
        <w:jc w:val="left"/>
        <w:tblInd w:w="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45" w:hRule="atLeast"/>
        </w:trPr>
        <w:tc>
          <w:tcPr>
            <w:tcW w:w="4950" w:type="dxa"/>
            <w:tcBorders>
              <w:left w:val="nil"/>
            </w:tcBorders>
          </w:tcPr>
          <w:p>
            <w:pPr>
              <w:pStyle w:val="TableParagraph"/>
              <w:spacing w:before="97"/>
              <w:ind w:left="15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DAS DESP. COM AÇÕES E SERVIÇOS PÚBLICOS DE SAÚDE (VI) = (IV - V)</w:t>
            </w:r>
          </w:p>
        </w:tc>
        <w:tc>
          <w:tcPr>
            <w:tcW w:w="1260" w:type="dxa"/>
          </w:tcPr>
          <w:p>
            <w:pPr>
              <w:pStyle w:val="TableParagraph"/>
              <w:spacing w:before="97"/>
              <w:ind w:left="440" w:right="0"/>
              <w:jc w:val="left"/>
              <w:rPr>
                <w:sz w:val="12"/>
              </w:rPr>
            </w:pPr>
            <w:r>
              <w:rPr>
                <w:sz w:val="12"/>
              </w:rPr>
              <w:t>14.358.000,00</w:t>
            </w:r>
          </w:p>
        </w:tc>
        <w:tc>
          <w:tcPr>
            <w:tcW w:w="1200" w:type="dxa"/>
          </w:tcPr>
          <w:p>
            <w:pPr>
              <w:pStyle w:val="TableParagraph"/>
              <w:spacing w:before="97"/>
              <w:ind w:left="365" w:right="0"/>
              <w:jc w:val="left"/>
              <w:rPr>
                <w:sz w:val="12"/>
              </w:rPr>
            </w:pPr>
            <w:r>
              <w:rPr>
                <w:sz w:val="12"/>
              </w:rPr>
              <w:t>15.860.723,47</w:t>
            </w:r>
          </w:p>
        </w:tc>
        <w:tc>
          <w:tcPr>
            <w:tcW w:w="1140" w:type="dxa"/>
          </w:tcPr>
          <w:p>
            <w:pPr>
              <w:pStyle w:val="TableParagraph"/>
              <w:spacing w:before="97"/>
              <w:ind w:left="320" w:right="0"/>
              <w:jc w:val="left"/>
              <w:rPr>
                <w:sz w:val="12"/>
              </w:rPr>
            </w:pPr>
            <w:r>
              <w:rPr>
                <w:sz w:val="12"/>
              </w:rPr>
              <w:t>11.082.798,65</w:t>
            </w:r>
          </w:p>
        </w:tc>
        <w:tc>
          <w:tcPr>
            <w:tcW w:w="645" w:type="dxa"/>
          </w:tcPr>
          <w:p>
            <w:pPr>
              <w:pStyle w:val="TableParagraph"/>
              <w:spacing w:before="97"/>
              <w:ind w:left="167" w:right="0"/>
              <w:jc w:val="left"/>
              <w:rPr>
                <w:sz w:val="12"/>
              </w:rPr>
            </w:pPr>
            <w:r>
              <w:rPr>
                <w:sz w:val="12"/>
              </w:rPr>
              <w:t>69,88 %</w:t>
            </w:r>
          </w:p>
        </w:tc>
        <w:tc>
          <w:tcPr>
            <w:tcW w:w="1155" w:type="dxa"/>
          </w:tcPr>
          <w:p>
            <w:pPr>
              <w:pStyle w:val="TableParagraph"/>
              <w:spacing w:before="97"/>
              <w:ind w:left="402" w:right="0"/>
              <w:jc w:val="left"/>
              <w:rPr>
                <w:sz w:val="12"/>
              </w:rPr>
            </w:pPr>
            <w:r>
              <w:rPr>
                <w:sz w:val="12"/>
              </w:rPr>
              <w:t>9.874.479,36</w:t>
            </w:r>
          </w:p>
        </w:tc>
        <w:tc>
          <w:tcPr>
            <w:tcW w:w="615" w:type="dxa"/>
            <w:tcBorders>
              <w:right w:val="nil"/>
            </w:tcBorders>
          </w:tcPr>
          <w:p>
            <w:pPr>
              <w:pStyle w:val="TableParagraph"/>
              <w:spacing w:before="97"/>
              <w:ind w:left="167" w:right="-15"/>
              <w:jc w:val="left"/>
              <w:rPr>
                <w:sz w:val="12"/>
              </w:rPr>
            </w:pPr>
            <w:r>
              <w:rPr>
                <w:sz w:val="12"/>
              </w:rPr>
              <w:t>62,26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%</w:t>
            </w:r>
          </w:p>
        </w:tc>
      </w:tr>
    </w:tbl>
    <w:p>
      <w:pPr>
        <w:pStyle w:val="BodyText"/>
        <w:spacing w:before="5"/>
        <w:rPr>
          <w:rFonts w:ascii="Times New Roman"/>
          <w:sz w:val="6"/>
        </w:rPr>
      </w:pPr>
    </w:p>
    <w:p>
      <w:pPr>
        <w:pStyle w:val="Heading1"/>
      </w:pPr>
      <w:r>
        <w:rPr>
          <w:spacing w:val="-42"/>
        </w:rPr>
        <w:t> </w:t>
      </w:r>
      <w:r>
        <w:rPr>
          <w:spacing w:val="-42"/>
        </w:rPr>
        <w:pict>
          <v:group style="width:548.9pt;height:18.75pt;mso-position-horizontal-relative:char;mso-position-vertical-relative:line" coordorigin="0,0" coordsize="10978,375">
            <v:line style="position:absolute" from="0,8" to="10965,8" stroked="true" strokeweight=".75pt" strokecolor="#000000">
              <v:stroke dashstyle="solid"/>
            </v:line>
            <v:line style="position:absolute" from="0,368" to="10965,368" stroked="true" strokeweight=".75pt" strokecolor="#000000">
              <v:stroke dashstyle="solid"/>
            </v:line>
            <v:line style="position:absolute" from="9195,8" to="9195,353" stroked="true" strokeweight=".75pt" strokecolor="#000000">
              <v:stroke dashstyle="solid"/>
            </v:line>
            <v:shape style="position:absolute;left:7;top:41;width:832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PERCENTUAL DE APLICAÇÃO EM AÇÕES E SERVIÇOS PÚBLICOS DE SAÚDE SOBRE A RECEITA DE IMPOSTOS LÍQUIDA E TRANSFERÊNCIAS</w:t>
                    </w:r>
                  </w:p>
                </w:txbxContent>
              </v:textbox>
              <w10:wrap type="none"/>
            </v:shape>
            <v:shape style="position:absolute;left:7;top:181;width:4945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CONSTITUCIONAIS E LEGAIS (VII%) = (VIi / IIIb x 100) - LIMITE CONSTITUCIONAL 15%</w:t>
                    </w:r>
                  </w:p>
                </w:txbxContent>
              </v:textbox>
              <w10:wrap type="none"/>
            </v:shape>
            <v:shape style="position:absolute;left:5137;top:187;width:198;height:90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sz w:val="8"/>
                      </w:rPr>
                      <w:t>4 e 5</w:t>
                    </w:r>
                  </w:p>
                </w:txbxContent>
              </v:textbox>
              <w10:wrap type="none"/>
            </v:shape>
            <v:shape style="position:absolute;left:10517;top:131;width:46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25,74 %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-42"/>
        </w:rPr>
      </w:r>
    </w:p>
    <w:p>
      <w:pPr>
        <w:pStyle w:val="BodyText"/>
        <w:spacing w:before="6"/>
        <w:rPr>
          <w:rFonts w:ascii="Times New Roman"/>
          <w:sz w:val="3"/>
        </w:rPr>
      </w:pPr>
    </w:p>
    <w:p>
      <w:pPr>
        <w:spacing w:line="240" w:lineRule="auto"/>
        <w:ind w:left="244" w:right="0" w:firstLine="0"/>
        <w:rPr>
          <w:rFonts w:ascii="Times New Roman"/>
          <w:sz w:val="20"/>
        </w:rPr>
      </w:pPr>
      <w:r>
        <w:rPr>
          <w:rFonts w:ascii="Times New Roman"/>
          <w:spacing w:val="-42"/>
          <w:sz w:val="20"/>
        </w:rPr>
        <w:t> </w:t>
      </w:r>
      <w:r>
        <w:rPr>
          <w:rFonts w:ascii="Times New Roman"/>
          <w:spacing w:val="-42"/>
          <w:sz w:val="20"/>
        </w:rPr>
        <w:pict>
          <v:group style="width:548.9pt;height:14.25pt;mso-position-horizontal-relative:char;mso-position-vertical-relative:line" coordorigin="0,0" coordsize="10978,285">
            <v:line style="position:absolute" from="0,8" to="10965,8" stroked="true" strokeweight=".75pt" strokecolor="#000000">
              <v:stroke dashstyle="solid"/>
            </v:line>
            <v:line style="position:absolute" from="0,277" to="10965,277" stroked="true" strokeweight=".75pt" strokecolor="#000000">
              <v:stroke dashstyle="solid"/>
            </v:line>
            <v:line style="position:absolute" from="9195,8" to="9195,263" stroked="true" strokeweight=".75pt" strokecolor="#000000">
              <v:stroke dashstyle="solid"/>
            </v:line>
            <v:shape style="position:absolute;left:7;top:41;width:723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VALOR REFERENTE À DIFERENÇA ENTRE O VALOR EXECUTADO E O LIMITE MÍNIMO CONSTITUCIONAL (VIi - (15 x IIIb)/100)</w:t>
                    </w:r>
                  </w:p>
                </w:txbxContent>
              </v:textbox>
              <w10:wrap type="none"/>
            </v:shape>
            <v:shape style="position:absolute;left:7492;top:127;width:65;height:90" type="#_x0000_t202" filled="false" stroked="false">
              <v:textbox inset="0,0,0,0">
                <w:txbxContent>
                  <w:p>
                    <w:pPr>
                      <w:spacing w:line="89" w:lineRule="exact" w:before="0"/>
                      <w:ind w:left="0" w:right="0" w:firstLine="0"/>
                      <w:jc w:val="lef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w w:val="99"/>
                        <w:sz w:val="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0257;top:41;width:72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4.120.944,95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-42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450" w:footer="382" w:top="1680" w:bottom="580" w:left="280" w:right="200"/>
          <w:pgNumType w:start="1"/>
        </w:sectPr>
      </w:pPr>
    </w:p>
    <w:p>
      <w:pPr>
        <w:pStyle w:val="BodyText"/>
        <w:rPr>
          <w:rFonts w:ascii="Times New Roman"/>
          <w:sz w:val="14"/>
        </w:rPr>
      </w:pPr>
    </w:p>
    <w:tbl>
      <w:tblPr>
        <w:tblW w:w="0" w:type="auto"/>
        <w:jc w:val="left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70" w:hRule="atLeast"/>
        </w:trPr>
        <w:tc>
          <w:tcPr>
            <w:tcW w:w="4965" w:type="dxa"/>
            <w:tcBorders>
              <w:left w:val="nil"/>
            </w:tcBorders>
          </w:tcPr>
          <w:p>
            <w:pPr>
              <w:pStyle w:val="TableParagraph"/>
              <w:spacing w:before="113"/>
              <w:ind w:left="1376" w:right="123" w:hanging="116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EXECUÇÃO DE RESTOS A PAGAR NÃO PROCESSADOS INSCRITOS COM DISPONIBILDADE DE CAIXA</w:t>
            </w:r>
          </w:p>
        </w:tc>
        <w:tc>
          <w:tcPr>
            <w:tcW w:w="1260" w:type="dxa"/>
          </w:tcPr>
          <w:p>
            <w:pPr>
              <w:pStyle w:val="TableParagraph"/>
              <w:spacing w:before="7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10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INSCRITOS</w:t>
            </w:r>
          </w:p>
        </w:tc>
        <w:tc>
          <w:tcPr>
            <w:tcW w:w="1185" w:type="dxa"/>
          </w:tcPr>
          <w:p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2" w:lineRule="auto" w:before="0"/>
              <w:ind w:left="194" w:right="125" w:hanging="5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CANCELADOS/ PRESCRITOS</w:t>
            </w:r>
          </w:p>
        </w:tc>
        <w:tc>
          <w:tcPr>
            <w:tcW w:w="1155" w:type="dxa"/>
          </w:tcPr>
          <w:p>
            <w:pPr>
              <w:pStyle w:val="TableParagraph"/>
              <w:spacing w:before="7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53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PAGOS</w:t>
            </w:r>
          </w:p>
        </w:tc>
        <w:tc>
          <w:tcPr>
            <w:tcW w:w="1185" w:type="dxa"/>
          </w:tcPr>
          <w:p>
            <w:pPr>
              <w:pStyle w:val="TableParagraph"/>
              <w:spacing w:before="7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08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 PAGAR</w:t>
            </w:r>
          </w:p>
        </w:tc>
        <w:tc>
          <w:tcPr>
            <w:tcW w:w="1230" w:type="dxa"/>
            <w:tcBorders>
              <w:right w:val="nil"/>
            </w:tcBorders>
          </w:tcPr>
          <w:p>
            <w:pPr>
              <w:pStyle w:val="TableParagraph"/>
              <w:spacing w:line="242" w:lineRule="auto" w:before="52"/>
              <w:ind w:left="175" w:right="1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PARCELA CONSIDERADA</w:t>
            </w:r>
            <w:r>
              <w:rPr>
                <w:b/>
                <w:w w:val="99"/>
                <w:sz w:val="12"/>
              </w:rPr>
              <w:t> </w:t>
            </w:r>
            <w:r>
              <w:rPr>
                <w:b/>
                <w:sz w:val="12"/>
              </w:rPr>
              <w:t>NO LIMITE</w:t>
            </w:r>
          </w:p>
        </w:tc>
      </w:tr>
      <w:tr>
        <w:trPr>
          <w:trHeight w:val="160" w:hRule="atLeast"/>
        </w:trPr>
        <w:tc>
          <w:tcPr>
            <w:tcW w:w="496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33" w:lineRule="exact" w:before="7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Inscritos em 2017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line="133" w:lineRule="exact" w:before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spacing w:line="133" w:lineRule="exact" w:before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bottom w:val="nil"/>
            </w:tcBorders>
          </w:tcPr>
          <w:p>
            <w:pPr>
              <w:pStyle w:val="TableParagraph"/>
              <w:spacing w:line="133" w:lineRule="exact" w:before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TableParagraph"/>
              <w:spacing w:line="133" w:lineRule="exact" w:before="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23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33" w:lineRule="exact" w:before="7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3" w:lineRule="exact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Inscritos em 2016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3" w:lineRule="exact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3" w:lineRule="exact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3" w:lineRule="exact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33" w:lineRule="exact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3" w:lineRule="exact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33" w:lineRule="exact"/>
              <w:ind w:right="27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9" w:hRule="atLeast"/>
        </w:trPr>
        <w:tc>
          <w:tcPr>
            <w:tcW w:w="496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38" w:lineRule="exact"/>
              <w:ind w:left="29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38" w:lineRule="exact"/>
              <w:ind w:right="28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</w:tr>
    </w:tbl>
    <w:p>
      <w:pPr>
        <w:pStyle w:val="BodyText"/>
        <w:spacing w:before="10"/>
        <w:rPr>
          <w:rFonts w:ascii="Times New Roman"/>
          <w:sz w:val="20"/>
        </w:rPr>
      </w:pPr>
    </w:p>
    <w:tbl>
      <w:tblPr>
        <w:tblW w:w="0" w:type="auto"/>
        <w:jc w:val="left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10" w:hRule="atLeast"/>
        </w:trPr>
        <w:tc>
          <w:tcPr>
            <w:tcW w:w="496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3"/>
              <w:ind w:left="186" w:right="1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CONTROLE DOS RESTOS A PAGAR CANCELADOS OU PRESCRITOS PARA FINS DE APLICAÇÃO DA DISPONIBILIDADE DE CAIXA CONFORME ARTIGO 24, §1º E 2º</w:t>
            </w:r>
          </w:p>
        </w:tc>
        <w:tc>
          <w:tcPr>
            <w:tcW w:w="6000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22"/>
              <w:ind w:left="1514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RESTOS A PAGAR CANCELADOS OU PRESCRITOS</w:t>
            </w:r>
          </w:p>
        </w:tc>
      </w:tr>
      <w:tr>
        <w:trPr>
          <w:trHeight w:val="330" w:hRule="atLeast"/>
        </w:trPr>
        <w:tc>
          <w:tcPr>
            <w:tcW w:w="49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before="82"/>
              <w:ind w:left="332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Inicial</w:t>
            </w:r>
          </w:p>
        </w:tc>
        <w:tc>
          <w:tcPr>
            <w:tcW w:w="2340" w:type="dxa"/>
          </w:tcPr>
          <w:p>
            <w:pPr>
              <w:pStyle w:val="TableParagraph"/>
              <w:spacing w:line="130" w:lineRule="exact" w:before="0"/>
              <w:ind w:left="105" w:right="9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Despesas custeadas no exercício de</w:t>
            </w:r>
          </w:p>
          <w:p>
            <w:pPr>
              <w:pStyle w:val="TableParagraph"/>
              <w:spacing w:before="2"/>
              <w:ind w:left="105" w:right="9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referência (j)</w:t>
            </w:r>
          </w:p>
        </w:tc>
        <w:tc>
          <w:tcPr>
            <w:tcW w:w="2400" w:type="dxa"/>
            <w:tcBorders>
              <w:right w:val="nil"/>
            </w:tcBorders>
          </w:tcPr>
          <w:p>
            <w:pPr>
              <w:pStyle w:val="TableParagraph"/>
              <w:spacing w:before="82"/>
              <w:ind w:left="447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Final (Não Aplicado)</w:t>
            </w:r>
          </w:p>
        </w:tc>
      </w:tr>
      <w:tr>
        <w:trPr>
          <w:trHeight w:val="168" w:hRule="atLeast"/>
        </w:trPr>
        <w:tc>
          <w:tcPr>
            <w:tcW w:w="496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26" w:lineRule="exact" w:before="22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Restos a Pagar Cancelados ou Prescritos em 2017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line="126" w:lineRule="exact" w:before="22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TableParagraph"/>
              <w:spacing w:line="126" w:lineRule="exact" w:before="22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26" w:lineRule="exact" w:before="22"/>
              <w:ind w:right="12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49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Restos a Pagar Cancelados ou Prescritos em 2016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26" w:lineRule="exact" w:before="4"/>
              <w:ind w:right="12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49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26" w:lineRule="exact" w:before="4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26" w:lineRule="exact" w:before="4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26" w:lineRule="exact" w:before="4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26" w:lineRule="exact" w:before="4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1" w:hRule="atLeast"/>
        </w:trPr>
        <w:tc>
          <w:tcPr>
            <w:tcW w:w="496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38" w:lineRule="exact" w:before="4"/>
              <w:ind w:left="29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(VIII)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line="138" w:lineRule="exact" w:before="4"/>
              <w:ind w:right="50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TableParagraph"/>
              <w:spacing w:line="138" w:lineRule="exact" w:before="4"/>
              <w:ind w:right="20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38" w:lineRule="exact" w:before="4"/>
              <w:ind w:right="28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</w:tr>
    </w:tbl>
    <w:p>
      <w:pPr>
        <w:pStyle w:val="BodyText"/>
        <w:spacing w:before="6"/>
        <w:rPr>
          <w:rFonts w:ascii="Times New Roman"/>
          <w:sz w:val="19"/>
        </w:rPr>
      </w:pPr>
    </w:p>
    <w:tbl>
      <w:tblPr>
        <w:tblW w:w="0" w:type="auto"/>
        <w:jc w:val="left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10" w:hRule="atLeast"/>
        </w:trPr>
        <w:tc>
          <w:tcPr>
            <w:tcW w:w="496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3"/>
              <w:ind w:left="128" w:right="59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CONTROLE DO VALOR REFERENTE AO PERCENTUAL MÍNIMO NÃO CUMPRIDO EM EXERCÍCIOS ANTERIORES PARA FINS DE APLICAÇÃO</w:t>
            </w:r>
            <w:r>
              <w:rPr>
                <w:b/>
                <w:w w:val="99"/>
                <w:sz w:val="14"/>
              </w:rPr>
              <w:t> </w:t>
            </w:r>
            <w:r>
              <w:rPr>
                <w:b/>
                <w:sz w:val="14"/>
              </w:rPr>
              <w:t>DOS RECURSOS VINCULADOS CONFORME ARTIGOS 25 E 26</w:t>
            </w:r>
          </w:p>
        </w:tc>
        <w:tc>
          <w:tcPr>
            <w:tcW w:w="6000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22"/>
              <w:ind w:left="2283" w:right="228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LIMITE NÃO CUMPRIDO</w:t>
            </w:r>
          </w:p>
        </w:tc>
      </w:tr>
      <w:tr>
        <w:trPr>
          <w:trHeight w:val="330" w:hRule="atLeast"/>
        </w:trPr>
        <w:tc>
          <w:tcPr>
            <w:tcW w:w="496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before="82"/>
              <w:ind w:left="332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Inicial</w:t>
            </w:r>
          </w:p>
        </w:tc>
        <w:tc>
          <w:tcPr>
            <w:tcW w:w="2340" w:type="dxa"/>
          </w:tcPr>
          <w:p>
            <w:pPr>
              <w:pStyle w:val="TableParagraph"/>
              <w:spacing w:line="130" w:lineRule="exact" w:before="0"/>
              <w:ind w:left="105" w:right="9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Despesas custeadas no exercício de</w:t>
            </w:r>
          </w:p>
          <w:p>
            <w:pPr>
              <w:pStyle w:val="TableParagraph"/>
              <w:spacing w:before="2"/>
              <w:ind w:left="105" w:right="9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referência (k)</w:t>
            </w:r>
          </w:p>
        </w:tc>
        <w:tc>
          <w:tcPr>
            <w:tcW w:w="2400" w:type="dxa"/>
            <w:tcBorders>
              <w:right w:val="nil"/>
            </w:tcBorders>
          </w:tcPr>
          <w:p>
            <w:pPr>
              <w:pStyle w:val="TableParagraph"/>
              <w:spacing w:before="82"/>
              <w:ind w:left="447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Final (Não Aplicado)</w:t>
            </w:r>
          </w:p>
        </w:tc>
      </w:tr>
      <w:tr>
        <w:trPr>
          <w:trHeight w:val="168" w:hRule="atLeast"/>
        </w:trPr>
        <w:tc>
          <w:tcPr>
            <w:tcW w:w="496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26" w:lineRule="exact" w:before="22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Diferença de limite não cumprido em 2016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line="126" w:lineRule="exact" w:before="22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TableParagraph"/>
              <w:spacing w:line="126" w:lineRule="exact" w:before="22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26" w:lineRule="exact" w:before="22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Diferença de limite não cumprido em 2015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26" w:lineRule="exact" w:before="4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49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26" w:lineRule="exact" w:before="4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49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26" w:lineRule="exact" w:before="4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26" w:lineRule="exact" w:before="4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50" w:hRule="atLeast"/>
        </w:trPr>
        <w:tc>
          <w:tcPr>
            <w:tcW w:w="496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left="29" w:right="0"/>
              <w:jc w:val="left"/>
              <w:rPr>
                <w:sz w:val="12"/>
              </w:rPr>
            </w:pPr>
            <w:r>
              <w:rPr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5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26" w:lineRule="exact" w:before="4"/>
              <w:ind w:right="20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26" w:lineRule="exact" w:before="4"/>
              <w:ind w:right="28"/>
              <w:rPr>
                <w:sz w:val="12"/>
              </w:rPr>
            </w:pPr>
            <w:r>
              <w:rPr>
                <w:w w:val="95"/>
                <w:sz w:val="12"/>
              </w:rPr>
              <w:t>0,00</w:t>
            </w:r>
          </w:p>
        </w:tc>
      </w:tr>
      <w:tr>
        <w:trPr>
          <w:trHeight w:val="161" w:hRule="atLeast"/>
        </w:trPr>
        <w:tc>
          <w:tcPr>
            <w:tcW w:w="496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38" w:lineRule="exact" w:before="4"/>
              <w:ind w:left="29" w:right="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Total (IX)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line="138" w:lineRule="exact" w:before="4"/>
              <w:ind w:right="50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/>
            </w:tcBorders>
          </w:tcPr>
          <w:p>
            <w:pPr>
              <w:pStyle w:val="TableParagraph"/>
              <w:spacing w:line="138" w:lineRule="exact" w:before="4"/>
              <w:ind w:right="20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38" w:lineRule="exact" w:before="4"/>
              <w:ind w:right="28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0,00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9"/>
        <w:ind w:right="106"/>
        <w:jc w:val="right"/>
      </w:pPr>
      <w:r>
        <w:rPr/>
        <w:pict>
          <v:shape style="position:absolute;margin-left:25.5005pt;margin-top:-21.673672pt;width:550.15pt;height:118.5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2"/>
                    <w:gridCol w:w="1993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80" w:hRule="atLeas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0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84" w:right="117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  <w:u w:val="single"/>
                          </w:rPr>
                          <w:t>DESPESAS COM SAÚDE</w:t>
                        </w:r>
                      </w:p>
                      <w:p>
                        <w:pPr>
                          <w:pStyle w:val="TableParagraph"/>
                          <w:spacing w:before="17"/>
                          <w:ind w:left="184" w:right="11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(Por Subfunção)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ind w:right="0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0"/>
                          <w:ind w:left="412" w:right="306" w:hanging="8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ind w:right="0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 w:before="0"/>
                          <w:ind w:left="169" w:right="240" w:firstLine="73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ind w:left="139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11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59" w:hRule="atLeas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0"/>
                          <w:ind w:left="546" w:right="128" w:hanging="341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0"/>
                          <w:ind w:left="175" w:right="5" w:hanging="13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0"/>
                          <w:ind w:left="510" w:right="127" w:hanging="30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0"/>
                          <w:ind w:left="205" w:right="52" w:hanging="21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4965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89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5.765.950,00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6.478.804,55</w:t>
                        </w:r>
                      </w:p>
                    </w:tc>
                    <w:tc>
                      <w:tcPr>
                        <w:tcW w:w="11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4.408.843,06</w:t>
                        </w:r>
                      </w:p>
                    </w:tc>
                    <w:tc>
                      <w:tcPr>
                        <w:tcW w:w="6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46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32,33 %</w:t>
                        </w:r>
                      </w:p>
                    </w:tc>
                    <w:tc>
                      <w:tcPr>
                        <w:tcW w:w="11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3.980.079,71</w:t>
                        </w:r>
                      </w:p>
                    </w:tc>
                    <w:tc>
                      <w:tcPr>
                        <w:tcW w:w="615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32,67 %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89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12.085.050,00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13.143.857,22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8.879.793,25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46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65,12 %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7.873.388,73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64,62 %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89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213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89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214.000,00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402.707,52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101.545,86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213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0,74 %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90.906,98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0,75 %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89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318.000,00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318.000,00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237.702,93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213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1,74 %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232.729,42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1,91 %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89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213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89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63.000,00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71.409,94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8.637,76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213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0,06 %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6.526,60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0,05 %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97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89" w:right="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TOTAL</w:t>
                        </w:r>
                      </w:p>
                    </w:tc>
                    <w:tc>
                      <w:tcPr>
                        <w:tcW w:w="199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38" w:lineRule="exact" w:before="37"/>
                          <w:ind w:left="916" w:right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before="22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18.446.000,00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TableParagraph"/>
                          <w:spacing w:before="22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20.414.779,23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22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13.636.522,86</w:t>
                        </w:r>
                      </w:p>
                    </w:tc>
                    <w:tc>
                      <w:tcPr>
                        <w:tcW w:w="645" w:type="dxa"/>
                      </w:tcPr>
                      <w:p>
                        <w:pPr>
                          <w:pStyle w:val="TableParagraph"/>
                          <w:spacing w:before="22"/>
                          <w:ind w:left="8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TableParagraph"/>
                          <w:spacing w:before="22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12.183.631,44</w:t>
                        </w:r>
                      </w:p>
                    </w:tc>
                    <w:tc>
                      <w:tcPr>
                        <w:tcW w:w="6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</w:rPr>
        <w:t>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5"/>
        <w:ind w:left="275"/>
      </w:pPr>
      <w:r>
        <w:rPr/>
        <w:t>FONTE: Sistema Informatizado - Prefeitura Municipal de Arapoti - 11/set/2017 - 11h e 12m</w:t>
      </w:r>
    </w:p>
    <w:p>
      <w:pPr>
        <w:pStyle w:val="BodyText"/>
        <w:spacing w:before="86"/>
        <w:ind w:left="275"/>
      </w:pPr>
      <w:r>
        <w:rPr/>
        <w:t>¹ Essa linha apresentará valor somente no Relatório Resumido da Execução Orçamentária do último bimestre do exercício.</w:t>
      </w:r>
    </w:p>
    <w:p>
      <w:pPr>
        <w:pStyle w:val="BodyText"/>
        <w:spacing w:before="11"/>
        <w:ind w:left="274"/>
      </w:pPr>
      <w:r>
        <w:rPr/>
        <w:t>² O valor apresentado na intercessão com a coluna "i" ou com a coluna "h+i"(último bimestre) deverá ser o mesmo apresentado no "total j".</w:t>
      </w:r>
    </w:p>
    <w:p>
      <w:pPr>
        <w:pStyle w:val="BodyText"/>
        <w:spacing w:before="11"/>
        <w:ind w:left="275"/>
      </w:pPr>
      <w:r>
        <w:rPr/>
        <w:t>³ O valor apresentado na intercessão com a coluna "i" ou com a coluna "h+i"(último bimestre) deverá ser o mesmo apresentado no "total k".</w:t>
      </w:r>
    </w:p>
    <w:p>
      <w:pPr>
        <w:pStyle w:val="BodyText"/>
        <w:spacing w:before="9"/>
        <w:ind w:left="275"/>
      </w:pPr>
      <w:r>
        <w:rPr>
          <w:position w:val="4"/>
          <w:sz w:val="8"/>
        </w:rPr>
        <w:t>4 </w:t>
      </w:r>
      <w:r>
        <w:rPr/>
        <w:t>Limite anual mínimo a ser cumprido no encerramento do exercício. Deverá ser informado o limite estabelecido na Lei Orgânica do Município quando o percentual nela estabelecido for superi</w:t>
      </w:r>
    </w:p>
    <w:p>
      <w:pPr>
        <w:pStyle w:val="BodyText"/>
        <w:spacing w:before="9"/>
        <w:ind w:left="275"/>
      </w:pPr>
      <w:r>
        <w:rPr>
          <w:position w:val="4"/>
          <w:sz w:val="8"/>
        </w:rPr>
        <w:t>5 </w:t>
      </w:r>
      <w:r>
        <w:rPr/>
        <w:t>Durante o exercício esse valor servirá para o monitoramento previsto no art. 23 da LC 141/2012</w:t>
      </w:r>
    </w:p>
    <w:p>
      <w:pPr>
        <w:pStyle w:val="BodyText"/>
        <w:spacing w:before="9"/>
        <w:ind w:left="275"/>
      </w:pPr>
      <w:r>
        <w:rPr>
          <w:position w:val="4"/>
          <w:sz w:val="8"/>
        </w:rPr>
        <w:t>6 </w:t>
      </w:r>
      <w:r>
        <w:rPr/>
        <w:t>No último bimestre, será utilizada a fórmula [VI(h+i) - (15 x IIIb)/100]</w:t>
      </w:r>
    </w:p>
    <w:p>
      <w:pPr>
        <w:pStyle w:val="BodyText"/>
        <w:spacing w:before="9"/>
        <w:ind w:left="275"/>
      </w:pPr>
      <w:r>
        <w:rPr>
          <w:position w:val="4"/>
          <w:sz w:val="8"/>
        </w:rPr>
        <w:t>7 </w:t>
      </w:r>
      <w:r>
        <w:rPr/>
        <w:t>Essa coluna poderá ser apresentada somente no último bimestre</w:t>
      </w:r>
    </w:p>
    <w:p>
      <w:pPr>
        <w:spacing w:before="70"/>
        <w:ind w:left="109" w:right="0" w:firstLine="0"/>
        <w:jc w:val="left"/>
        <w:rPr>
          <w:sz w:val="10"/>
        </w:rPr>
      </w:pPr>
      <w:r>
        <w:rPr>
          <w:sz w:val="10"/>
        </w:rPr>
        <w:t>Parâmetro: CONSOLIDAÇÃO GERAL</w:t>
      </w:r>
    </w:p>
    <w:sectPr>
      <w:pgSz w:w="11900" w:h="16840"/>
      <w:pgMar w:header="450" w:footer="382" w:top="1680" w:bottom="580" w:left="2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4992" from="21.3741pt,809.264282pt" to="574.8741pt,809.264282pt" stroked="true" strokeweight=".75pt" strokecolor="#000000">
          <v:stroke dashstyle="solid"/>
          <w10:wrap type="none"/>
        </v:line>
      </w:pict>
    </w:r>
    <w:r>
      <w:rPr/>
      <w:pict>
        <v:shape style="position:absolute;margin-left:535.723572pt;margin-top:811.459473pt;width:39.050pt;height:8.75pt;mso-position-horizontal-relative:page;mso-position-vertical-relative:page;z-index:-4496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21.508013pt;width:460.05pt;height:64.45pt;mso-position-horizontal-relative:page;mso-position-vertical-relative:page;z-index:-45040" type="#_x0000_t202" filled="false" stroked="false">
          <v:textbox inset="0,0,0,0">
            <w:txbxContent>
              <w:p>
                <w:pPr>
                  <w:spacing w:before="14"/>
                  <w:ind w:left="4317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MUNICÍPIO DE ARAPOTI</w:t>
                </w:r>
              </w:p>
              <w:p>
                <w:pPr>
                  <w:spacing w:before="10"/>
                  <w:ind w:left="3248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RELATÓRIO RESUMIDO DA EXECUÇÃO ORÇAMENTÁRIA</w:t>
                </w:r>
              </w:p>
              <w:p>
                <w:pPr>
                  <w:spacing w:before="25"/>
                  <w:ind w:left="1677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DEMONSTRATIVO DAS RECEITAS E DESPESAS COM AÇÕES E SERVIÇOS PÚBLICOS DE SAÚDE</w:t>
                </w:r>
              </w:p>
              <w:p>
                <w:pPr>
                  <w:spacing w:line="273" w:lineRule="auto" w:before="40"/>
                  <w:ind w:left="3529" w:right="1872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ORÇAMENTO FISCAL E DA SEGURIDADE SOCIAL JANEIRO A AGOSTO 2017</w:t>
                </w:r>
              </w:p>
              <w:p>
                <w:pPr>
                  <w:pStyle w:val="BodyText"/>
                  <w:spacing w:before="66"/>
                  <w:ind w:left="20"/>
                </w:pPr>
                <w:r>
                  <w:rPr/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069862pt;width:23.05pt;height:8.75pt;mso-position-horizontal-relative:page;mso-position-vertical-relative:page;z-index:-4501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Heading1" w:type="paragraph">
    <w:name w:val="Heading 1"/>
    <w:basedOn w:val="Normal"/>
    <w:uiPriority w:val="1"/>
    <w:qFormat/>
    <w:pPr>
      <w:ind w:left="244"/>
      <w:outlineLvl w:val="1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"/>
      <w:ind w:right="35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2017-09-12T20:17:41Z</dcterms:created>
  <dcterms:modified xsi:type="dcterms:W3CDTF">2017-09-12T20:17:41Z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TExtraDevices</vt:lpwstr>
  </property>
  <property fmtid="{D5CDD505-2E9C-101B-9397-08002B2CF9AE}" pid="4" name="LastSaved">
    <vt:filetime>2017-09-11T00:00:00Z</vt:filetime>
  </property>
</Properties>
</file>